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FD" w:rsidRDefault="00676AFD" w:rsidP="00F54D68">
      <w:pPr>
        <w:spacing w:after="120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:rsidR="00676AFD" w:rsidRDefault="00676AFD" w:rsidP="00F54D68">
      <w:pPr>
        <w:spacing w:after="120"/>
        <w:rPr>
          <w:rFonts w:ascii="Arial" w:hAnsi="Arial" w:cs="Arial"/>
          <w:color w:val="000000"/>
          <w:lang w:eastAsia="en-GB"/>
        </w:rPr>
      </w:pPr>
    </w:p>
    <w:p w:rsidR="00676AFD" w:rsidRDefault="00676AFD" w:rsidP="00F54D68">
      <w:pPr>
        <w:spacing w:after="120"/>
        <w:rPr>
          <w:rFonts w:ascii="Arial" w:hAnsi="Arial" w:cs="Arial"/>
          <w:color w:val="000000"/>
          <w:lang w:eastAsia="en-GB"/>
        </w:rPr>
      </w:pPr>
    </w:p>
    <w:p w:rsidR="0064235F" w:rsidRPr="0064235F" w:rsidRDefault="00BF2B25" w:rsidP="00BF2B25">
      <w:pPr>
        <w:spacing w:after="120"/>
        <w:rPr>
          <w:rFonts w:ascii="Calibri" w:hAnsi="Calibri" w:cs="Calibri"/>
          <w:b/>
          <w:color w:val="365F91"/>
          <w:sz w:val="72"/>
          <w:szCs w:val="72"/>
          <w:lang w:eastAsia="en-GB"/>
        </w:rPr>
      </w:pPr>
      <w:r w:rsidRPr="0064235F">
        <w:rPr>
          <w:rFonts w:ascii="Calibri" w:hAnsi="Calibri" w:cs="Calibri"/>
          <w:b/>
          <w:color w:val="365F91"/>
          <w:sz w:val="72"/>
          <w:szCs w:val="72"/>
          <w:lang w:eastAsia="en-GB"/>
        </w:rPr>
        <w:t xml:space="preserve">COULD YOU BE A </w:t>
      </w:r>
      <w:r w:rsidR="00676AFD" w:rsidRPr="0064235F">
        <w:rPr>
          <w:rFonts w:ascii="Calibri" w:hAnsi="Calibri" w:cs="Calibri"/>
          <w:b/>
          <w:color w:val="365F91"/>
          <w:sz w:val="72"/>
          <w:szCs w:val="72"/>
          <w:lang w:eastAsia="en-GB"/>
        </w:rPr>
        <w:t>SPECIALTY CHAMPIO</w:t>
      </w:r>
      <w:r w:rsidRPr="0064235F">
        <w:rPr>
          <w:rFonts w:ascii="Calibri" w:hAnsi="Calibri" w:cs="Calibri"/>
          <w:b/>
          <w:color w:val="365F91"/>
          <w:sz w:val="72"/>
          <w:szCs w:val="72"/>
          <w:lang w:eastAsia="en-GB"/>
        </w:rPr>
        <w:t>N</w:t>
      </w:r>
      <w:r w:rsidR="0064235F" w:rsidRPr="0064235F">
        <w:rPr>
          <w:rFonts w:ascii="Calibri" w:hAnsi="Calibri" w:cs="Calibri"/>
          <w:b/>
          <w:color w:val="365F91"/>
          <w:sz w:val="72"/>
          <w:szCs w:val="72"/>
          <w:lang w:eastAsia="en-GB"/>
        </w:rPr>
        <w:t>?</w:t>
      </w:r>
      <w:r w:rsidRPr="0064235F">
        <w:rPr>
          <w:rFonts w:ascii="Calibri" w:hAnsi="Calibri" w:cs="Calibri"/>
          <w:b/>
          <w:color w:val="365F91"/>
          <w:sz w:val="72"/>
          <w:szCs w:val="72"/>
          <w:lang w:eastAsia="en-GB"/>
        </w:rPr>
        <w:t xml:space="preserve"> </w:t>
      </w:r>
    </w:p>
    <w:p w:rsidR="00676AFD" w:rsidRPr="0064235F" w:rsidRDefault="00BF2B25" w:rsidP="00BF2B25">
      <w:pPr>
        <w:spacing w:after="120"/>
        <w:rPr>
          <w:rFonts w:ascii="Calibri" w:hAnsi="Calibri" w:cs="Calibri"/>
          <w:b/>
          <w:color w:val="365F91"/>
          <w:sz w:val="56"/>
          <w:szCs w:val="56"/>
          <w:lang w:eastAsia="en-GB"/>
        </w:rPr>
      </w:pPr>
      <w:r w:rsidRP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>PROVID</w:t>
      </w:r>
      <w:r w:rsid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>ING</w:t>
      </w:r>
      <w:r w:rsidRP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 xml:space="preserve"> VALUABLE C</w:t>
      </w:r>
      <w:r w:rsidR="00676AFD" w:rsidRP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 xml:space="preserve">AREER </w:t>
      </w:r>
      <w:r w:rsid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>A</w:t>
      </w:r>
      <w:r w:rsidRP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>DVICE &amp; S</w:t>
      </w:r>
      <w:r w:rsidR="00676AFD" w:rsidRP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>UPPORT</w:t>
      </w:r>
      <w:r w:rsidRPr="0064235F">
        <w:rPr>
          <w:rFonts w:ascii="Calibri" w:hAnsi="Calibri" w:cs="Calibri"/>
          <w:b/>
          <w:color w:val="365F91"/>
          <w:sz w:val="56"/>
          <w:szCs w:val="56"/>
          <w:lang w:eastAsia="en-GB"/>
        </w:rPr>
        <w:t xml:space="preserve"> TO OUR JUNIOR DOCTORS</w:t>
      </w:r>
    </w:p>
    <w:p w:rsidR="00CE52D4" w:rsidRDefault="00676AFD" w:rsidP="00CE52D4">
      <w:pPr>
        <w:spacing w:after="120"/>
        <w:jc w:val="both"/>
        <w:rPr>
          <w:rFonts w:ascii="Calibri" w:hAnsi="Calibri" w:cs="Calibri"/>
          <w:b/>
          <w:color w:val="00B0F0"/>
          <w:sz w:val="28"/>
          <w:szCs w:val="28"/>
          <w:lang w:eastAsia="en-GB"/>
        </w:rPr>
      </w:pPr>
      <w:r w:rsidRPr="00C01C3C">
        <w:rPr>
          <w:rFonts w:ascii="Calibri" w:hAnsi="Calibri" w:cs="Calibri"/>
          <w:b/>
          <w:color w:val="00B0F0"/>
          <w:sz w:val="28"/>
          <w:szCs w:val="28"/>
          <w:lang w:eastAsia="en-GB"/>
        </w:rPr>
        <w:t>East Sussex Medical Education aims to provide high quality careers support for all junior doctors working at East Sussex Healthcare NHS Trust</w:t>
      </w:r>
      <w:r w:rsidR="00CE52D4">
        <w:rPr>
          <w:rFonts w:ascii="Calibri" w:hAnsi="Calibri" w:cs="Calibri"/>
          <w:b/>
          <w:color w:val="00B0F0"/>
          <w:sz w:val="28"/>
          <w:szCs w:val="28"/>
          <w:lang w:eastAsia="en-GB"/>
        </w:rPr>
        <w:t xml:space="preserve">.  </w:t>
      </w:r>
      <w:r w:rsidR="00CE52D4" w:rsidRPr="00CE52D4">
        <w:rPr>
          <w:rFonts w:ascii="Calibri" w:hAnsi="Calibri" w:cs="Calibri"/>
          <w:b/>
          <w:color w:val="00B0F0"/>
          <w:sz w:val="28"/>
          <w:szCs w:val="28"/>
          <w:lang w:eastAsia="en-GB"/>
        </w:rPr>
        <w:t>The Specialty Champions scheme is designed to put foundation doctors in touch with more senior colleagues at their Trust who are willing to discuss careers questions in</w:t>
      </w:r>
      <w:r w:rsidR="00CE52D4">
        <w:rPr>
          <w:rFonts w:ascii="Calibri" w:hAnsi="Calibri" w:cs="Calibri"/>
          <w:b/>
          <w:color w:val="00B0F0"/>
          <w:sz w:val="28"/>
          <w:szCs w:val="28"/>
          <w:lang w:eastAsia="en-GB"/>
        </w:rPr>
        <w:t xml:space="preserve"> an informal setting</w:t>
      </w:r>
    </w:p>
    <w:p w:rsidR="00CE52D4" w:rsidRPr="00BF2B25" w:rsidRDefault="00312B7A" w:rsidP="00CE52D4">
      <w:pPr>
        <w:spacing w:after="120"/>
        <w:jc w:val="both"/>
        <w:rPr>
          <w:rFonts w:ascii="Calibri" w:hAnsi="Calibri" w:cs="Calibri"/>
          <w:b/>
          <w:color w:val="365F91" w:themeColor="accent1" w:themeShade="BF"/>
          <w:sz w:val="28"/>
          <w:szCs w:val="28"/>
          <w:lang w:eastAsia="en-GB"/>
        </w:rPr>
      </w:pPr>
      <w:proofErr w:type="gramStart"/>
      <w:r>
        <w:rPr>
          <w:rFonts w:ascii="Calibri" w:hAnsi="Calibri" w:cs="Calibri"/>
          <w:b/>
          <w:color w:val="365F91" w:themeColor="accent1" w:themeShade="BF"/>
          <w:sz w:val="28"/>
          <w:szCs w:val="28"/>
          <w:lang w:eastAsia="en-GB"/>
        </w:rPr>
        <w:t>T</w:t>
      </w:r>
      <w:r w:rsidR="00CE52D4" w:rsidRPr="00BF2B25">
        <w:rPr>
          <w:rFonts w:ascii="Calibri" w:hAnsi="Calibri" w:cs="Calibri"/>
          <w:b/>
          <w:color w:val="365F91" w:themeColor="accent1" w:themeShade="BF"/>
          <w:sz w:val="28"/>
          <w:szCs w:val="28"/>
          <w:lang w:eastAsia="en-GB"/>
        </w:rPr>
        <w:t>he role of a Specialty Champion?</w:t>
      </w:r>
      <w:proofErr w:type="gramEnd"/>
    </w:p>
    <w:p w:rsidR="00CE52D4" w:rsidRPr="0064235F" w:rsidRDefault="00CE52D4" w:rsidP="00CE52D4">
      <w:pPr>
        <w:spacing w:after="120"/>
        <w:jc w:val="both"/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</w:pPr>
      <w:r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>Specialty Champions are doctors at ST/CT1 – 8, or consultants, who have an interest in providing careers advice and guidance.  They can volunteer from any specialty, and will be able to provide real-life, on-the-ground information about their specialty to interested foundation doctors.  They may also set up events in the trust to publicise their specialties</w:t>
      </w:r>
    </w:p>
    <w:p w:rsidR="00CE52D4" w:rsidRPr="0064235F" w:rsidRDefault="00CE52D4" w:rsidP="00CE52D4">
      <w:pPr>
        <w:spacing w:after="120"/>
        <w:jc w:val="both"/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</w:pPr>
      <w:r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 xml:space="preserve">Specialty Champions draw on their own career experiences and expertise to provide valuable insight for </w:t>
      </w:r>
      <w:r w:rsidR="00BF2B25"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 xml:space="preserve">Foundation Doctors </w:t>
      </w:r>
      <w:r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 xml:space="preserve">planning </w:t>
      </w:r>
      <w:r w:rsidR="0064235F"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>their</w:t>
      </w:r>
      <w:r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 xml:space="preserve"> next steps.  Champions can guide and advise </w:t>
      </w:r>
      <w:r w:rsidR="00BF2B25"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>on career options</w:t>
      </w:r>
      <w:r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 xml:space="preserve"> beyond F</w:t>
      </w:r>
      <w:r w:rsidR="0064235F"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>Y</w:t>
      </w:r>
      <w:r w:rsidRPr="0064235F">
        <w:rPr>
          <w:rFonts w:ascii="Calibri" w:hAnsi="Calibri" w:cs="Calibri"/>
          <w:color w:val="365F91" w:themeColor="accent1" w:themeShade="BF"/>
          <w:sz w:val="28"/>
          <w:szCs w:val="28"/>
          <w:lang w:eastAsia="en-GB"/>
        </w:rPr>
        <w:t>2, and will provide an accurate context within which to base their career decisions</w:t>
      </w:r>
    </w:p>
    <w:p w:rsidR="00676AFD" w:rsidRDefault="00676AFD" w:rsidP="0026560D">
      <w:pPr>
        <w:pStyle w:val="ListParagraph"/>
        <w:spacing w:after="120"/>
        <w:ind w:left="0"/>
        <w:jc w:val="both"/>
        <w:rPr>
          <w:rFonts w:ascii="Calibri" w:hAnsi="Calibri" w:cs="Calibri"/>
          <w:color w:val="365F91"/>
          <w:sz w:val="28"/>
          <w:szCs w:val="28"/>
          <w:lang w:eastAsia="en-GB"/>
        </w:rPr>
      </w:pPr>
    </w:p>
    <w:p w:rsidR="00312B7A" w:rsidRDefault="00676AFD" w:rsidP="0064235F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r w:rsidRPr="0064235F">
        <w:rPr>
          <w:rFonts w:ascii="Calibri" w:hAnsi="Calibri" w:cs="Calibri"/>
          <w:b/>
          <w:color w:val="548DD4"/>
          <w:sz w:val="28"/>
          <w:szCs w:val="28"/>
          <w:lang w:eastAsia="en-GB"/>
        </w:rPr>
        <w:t>Please contact C</w:t>
      </w:r>
      <w:r w:rsidR="00312B7A">
        <w:rPr>
          <w:rFonts w:ascii="Calibri" w:hAnsi="Calibri" w:cs="Calibri"/>
          <w:b/>
          <w:color w:val="548DD4"/>
          <w:sz w:val="28"/>
          <w:szCs w:val="28"/>
          <w:lang w:eastAsia="en-GB"/>
        </w:rPr>
        <w:t>hristina Morphew</w:t>
      </w:r>
      <w:r w:rsidRPr="0064235F">
        <w:rPr>
          <w:rFonts w:ascii="Calibri" w:hAnsi="Calibri" w:cs="Calibri"/>
          <w:b/>
          <w:color w:val="548DD4"/>
          <w:sz w:val="28"/>
          <w:szCs w:val="28"/>
          <w:lang w:eastAsia="en-GB"/>
        </w:rPr>
        <w:t xml:space="preserve"> for further information </w:t>
      </w:r>
    </w:p>
    <w:p w:rsidR="00676AFD" w:rsidRPr="0064235F" w:rsidRDefault="00676AFD" w:rsidP="0064235F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proofErr w:type="gramStart"/>
      <w:r w:rsidRPr="0064235F">
        <w:rPr>
          <w:rFonts w:ascii="Calibri" w:hAnsi="Calibri" w:cs="Calibri"/>
          <w:b/>
          <w:color w:val="548DD4"/>
          <w:sz w:val="28"/>
          <w:szCs w:val="28"/>
          <w:lang w:eastAsia="en-GB"/>
        </w:rPr>
        <w:t>on</w:t>
      </w:r>
      <w:proofErr w:type="gramEnd"/>
      <w:r w:rsidR="00B94C59">
        <w:rPr>
          <w:rFonts w:ascii="Calibri" w:hAnsi="Calibri" w:cs="Calibri"/>
          <w:b/>
          <w:color w:val="548DD4"/>
          <w:sz w:val="28"/>
          <w:szCs w:val="28"/>
          <w:lang w:eastAsia="en-GB"/>
        </w:rPr>
        <w:t xml:space="preserve"> 14) 6358</w:t>
      </w:r>
    </w:p>
    <w:p w:rsidR="00312B7A" w:rsidRDefault="0037725F" w:rsidP="00312B7A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hyperlink r:id="rId8" w:history="1">
        <w:r w:rsidR="00312B7A" w:rsidRPr="00312B7A">
          <w:rPr>
            <w:rStyle w:val="Hyperlink"/>
            <w:rFonts w:ascii="Calibri" w:hAnsi="Calibri" w:cs="Calibri"/>
            <w:b/>
            <w:sz w:val="28"/>
            <w:szCs w:val="28"/>
            <w:lang w:eastAsia="en-GB"/>
          </w:rPr>
          <w:t>christina.morphew@nhs.net</w:t>
        </w:r>
      </w:hyperlink>
    </w:p>
    <w:p w:rsidR="00676AFD" w:rsidRPr="0064235F" w:rsidRDefault="0037725F" w:rsidP="00312B7A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hyperlink r:id="rId9" w:history="1">
        <w:r w:rsidR="00312B7A" w:rsidRPr="00312B7A">
          <w:rPr>
            <w:rStyle w:val="Hyperlink"/>
            <w:rFonts w:ascii="Calibri" w:hAnsi="Calibri" w:cs="Calibri"/>
            <w:b/>
            <w:sz w:val="28"/>
            <w:szCs w:val="28"/>
            <w:lang w:eastAsia="en-GB"/>
          </w:rPr>
          <w:t>http://www.esht.nhs.uk/medical-education/careers/</w:t>
        </w:r>
      </w:hyperlink>
    </w:p>
    <w:p w:rsidR="00676AFD" w:rsidRDefault="00676AFD" w:rsidP="00C01C3C">
      <w:pPr>
        <w:spacing w:after="120"/>
        <w:jc w:val="center"/>
        <w:rPr>
          <w:rFonts w:ascii="Calibri" w:hAnsi="Calibri" w:cs="Calibri"/>
          <w:b/>
          <w:color w:val="548DD4"/>
          <w:sz w:val="32"/>
          <w:szCs w:val="32"/>
          <w:lang w:eastAsia="en-GB"/>
        </w:rPr>
      </w:pPr>
    </w:p>
    <w:p w:rsidR="00676AFD" w:rsidRDefault="00676AFD" w:rsidP="00C01C3C">
      <w:pPr>
        <w:spacing w:after="120"/>
        <w:jc w:val="center"/>
        <w:rPr>
          <w:rFonts w:ascii="Calibri" w:hAnsi="Calibri" w:cs="Calibri"/>
          <w:b/>
          <w:color w:val="548DD4"/>
          <w:sz w:val="32"/>
          <w:szCs w:val="32"/>
          <w:lang w:eastAsia="en-GB"/>
        </w:rPr>
      </w:pPr>
    </w:p>
    <w:p w:rsidR="00676AFD" w:rsidRDefault="00676AFD" w:rsidP="00C01C3C">
      <w:pPr>
        <w:spacing w:after="120"/>
        <w:jc w:val="center"/>
        <w:rPr>
          <w:rFonts w:ascii="Calibri" w:hAnsi="Calibri" w:cs="Calibri"/>
          <w:b/>
          <w:color w:val="548DD4"/>
          <w:sz w:val="32"/>
          <w:szCs w:val="32"/>
          <w:lang w:eastAsia="en-GB"/>
        </w:rPr>
      </w:pPr>
    </w:p>
    <w:p w:rsidR="00676AFD" w:rsidRDefault="00676AFD" w:rsidP="00C01C3C">
      <w:pPr>
        <w:spacing w:after="120"/>
        <w:jc w:val="center"/>
        <w:rPr>
          <w:rFonts w:ascii="Calibri" w:hAnsi="Calibri" w:cs="Calibri"/>
          <w:b/>
          <w:color w:val="548DD4"/>
          <w:sz w:val="32"/>
          <w:szCs w:val="32"/>
          <w:lang w:eastAsia="en-GB"/>
        </w:rPr>
      </w:pPr>
    </w:p>
    <w:p w:rsidR="00676AFD" w:rsidRPr="00590AC3" w:rsidRDefault="00676AFD" w:rsidP="0026560D">
      <w:pPr>
        <w:spacing w:after="120"/>
        <w:jc w:val="center"/>
        <w:rPr>
          <w:rFonts w:ascii="Calibri" w:hAnsi="Calibri" w:cs="Calibri"/>
          <w:b/>
          <w:color w:val="365F91"/>
          <w:sz w:val="82"/>
          <w:szCs w:val="82"/>
          <w:lang w:eastAsia="en-GB"/>
        </w:rPr>
      </w:pPr>
      <w:r w:rsidRPr="00590AC3">
        <w:rPr>
          <w:rFonts w:ascii="Calibri" w:hAnsi="Calibri" w:cs="Calibri"/>
          <w:b/>
          <w:color w:val="365F91"/>
          <w:sz w:val="82"/>
          <w:szCs w:val="82"/>
          <w:lang w:eastAsia="en-GB"/>
        </w:rPr>
        <w:t>SPECIA</w:t>
      </w:r>
      <w:r>
        <w:rPr>
          <w:rFonts w:ascii="Calibri" w:hAnsi="Calibri" w:cs="Calibri"/>
          <w:b/>
          <w:color w:val="365F91"/>
          <w:sz w:val="82"/>
          <w:szCs w:val="82"/>
          <w:lang w:eastAsia="en-GB"/>
        </w:rPr>
        <w:t>L</w:t>
      </w:r>
      <w:r w:rsidRPr="00590AC3">
        <w:rPr>
          <w:rFonts w:ascii="Calibri" w:hAnsi="Calibri" w:cs="Calibri"/>
          <w:b/>
          <w:color w:val="365F91"/>
          <w:sz w:val="82"/>
          <w:szCs w:val="82"/>
          <w:lang w:eastAsia="en-GB"/>
        </w:rPr>
        <w:t>TY CHAMPIONS</w:t>
      </w:r>
    </w:p>
    <w:p w:rsidR="00676AFD" w:rsidRDefault="002A4BD0" w:rsidP="00590AC3">
      <w:pPr>
        <w:spacing w:after="120"/>
        <w:rPr>
          <w:rFonts w:ascii="Calibri" w:hAnsi="Calibri" w:cs="Calibri"/>
          <w:b/>
          <w:color w:val="365F91"/>
          <w:sz w:val="52"/>
          <w:szCs w:val="52"/>
          <w:lang w:eastAsia="en-GB"/>
        </w:rPr>
      </w:pPr>
      <w:r>
        <w:rPr>
          <w:rFonts w:ascii="Calibri" w:hAnsi="Calibri" w:cs="Calibri"/>
          <w:b/>
          <w:color w:val="365F91"/>
          <w:sz w:val="52"/>
          <w:szCs w:val="52"/>
          <w:lang w:eastAsia="en-GB"/>
        </w:rPr>
        <w:t xml:space="preserve">We require </w:t>
      </w:r>
      <w:r w:rsidR="00676AFD">
        <w:rPr>
          <w:rFonts w:ascii="Calibri" w:hAnsi="Calibri" w:cs="Calibri"/>
          <w:b/>
          <w:color w:val="365F91"/>
          <w:sz w:val="52"/>
          <w:szCs w:val="52"/>
          <w:lang w:eastAsia="en-GB"/>
        </w:rPr>
        <w:t>Champions</w:t>
      </w:r>
      <w:r>
        <w:rPr>
          <w:rFonts w:ascii="Calibri" w:hAnsi="Calibri" w:cs="Calibri"/>
          <w:b/>
          <w:color w:val="365F91"/>
          <w:sz w:val="52"/>
          <w:szCs w:val="52"/>
          <w:lang w:eastAsia="en-GB"/>
        </w:rPr>
        <w:t xml:space="preserve"> to support our doctors in </w:t>
      </w:r>
      <w:r w:rsidR="00676AFD">
        <w:rPr>
          <w:rFonts w:ascii="Calibri" w:hAnsi="Calibri" w:cs="Calibri"/>
          <w:b/>
          <w:color w:val="365F91"/>
          <w:sz w:val="52"/>
          <w:szCs w:val="52"/>
          <w:lang w:eastAsia="en-GB"/>
        </w:rPr>
        <w:t xml:space="preserve">each speciality </w:t>
      </w:r>
    </w:p>
    <w:p w:rsidR="00676AFD" w:rsidRDefault="00676AFD" w:rsidP="00590AC3">
      <w:pPr>
        <w:spacing w:after="120"/>
        <w:rPr>
          <w:rFonts w:ascii="Calibri" w:hAnsi="Calibri" w:cs="Calibri"/>
          <w:b/>
          <w:color w:val="00B0F0"/>
          <w:sz w:val="28"/>
          <w:szCs w:val="28"/>
          <w:lang w:eastAsia="en-GB"/>
        </w:rPr>
      </w:pPr>
    </w:p>
    <w:p w:rsidR="00676AFD" w:rsidRDefault="00676AFD" w:rsidP="00590AC3">
      <w:pPr>
        <w:widowControl w:val="0"/>
        <w:rPr>
          <w:rFonts w:ascii="Arial" w:hAnsi="Arial" w:cs="Arial"/>
        </w:rPr>
      </w:pPr>
    </w:p>
    <w:p w:rsidR="00676AFD" w:rsidRPr="000F60DF" w:rsidRDefault="00676AFD" w:rsidP="00590AC3">
      <w:pPr>
        <w:widowControl w:val="0"/>
        <w:jc w:val="center"/>
        <w:rPr>
          <w:rFonts w:ascii="Arial" w:hAnsi="Arial" w:cs="Arial"/>
          <w:i/>
          <w:color w:val="365F91"/>
          <w:sz w:val="22"/>
          <w:szCs w:val="22"/>
        </w:rPr>
      </w:pPr>
      <w:r>
        <w:rPr>
          <w:rFonts w:ascii="Arial" w:hAnsi="Arial" w:cs="Arial"/>
          <w:i/>
          <w:color w:val="365F91"/>
          <w:sz w:val="22"/>
          <w:szCs w:val="22"/>
        </w:rPr>
        <w:t>*</w:t>
      </w:r>
      <w:r w:rsidRPr="000F60DF">
        <w:rPr>
          <w:rFonts w:ascii="Arial" w:hAnsi="Arial" w:cs="Arial"/>
          <w:i/>
          <w:color w:val="365F91"/>
          <w:sz w:val="22"/>
          <w:szCs w:val="22"/>
        </w:rPr>
        <w:t>Please complete this application form and hand in to the Medical Education team</w:t>
      </w:r>
    </w:p>
    <w:p w:rsidR="00676AFD" w:rsidRPr="000F60DF" w:rsidRDefault="00676AFD" w:rsidP="00590AC3">
      <w:pPr>
        <w:widowControl w:val="0"/>
        <w:rPr>
          <w:rFonts w:ascii="Arial" w:hAnsi="Arial" w:cs="Arial"/>
          <w:color w:val="365F91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726"/>
        <w:gridCol w:w="1097"/>
        <w:gridCol w:w="3130"/>
      </w:tblGrid>
      <w:tr w:rsidR="00676AFD" w:rsidRPr="00D33D99" w:rsidTr="00A46F57">
        <w:tc>
          <w:tcPr>
            <w:tcW w:w="1548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  <w:r w:rsidRPr="00D33D99">
              <w:rPr>
                <w:rFonts w:ascii="Arial" w:hAnsi="Arial" w:cs="Arial"/>
                <w:b/>
                <w:color w:val="365F91"/>
              </w:rPr>
              <w:t>NAME</w:t>
            </w: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3262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  <w:tc>
          <w:tcPr>
            <w:tcW w:w="1058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  <w:r w:rsidRPr="00D33D99">
              <w:rPr>
                <w:rFonts w:ascii="Arial" w:hAnsi="Arial" w:cs="Arial"/>
                <w:b/>
                <w:color w:val="365F91"/>
              </w:rPr>
              <w:t>GRADE</w:t>
            </w:r>
          </w:p>
        </w:tc>
        <w:tc>
          <w:tcPr>
            <w:tcW w:w="3752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</w:tr>
      <w:tr w:rsidR="00676AFD" w:rsidRPr="00D33D99" w:rsidTr="00A46F57">
        <w:tc>
          <w:tcPr>
            <w:tcW w:w="1548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  <w:r w:rsidRPr="00D33D99">
              <w:rPr>
                <w:rFonts w:ascii="Arial" w:hAnsi="Arial" w:cs="Arial"/>
                <w:b/>
                <w:color w:val="365F91"/>
              </w:rPr>
              <w:t>Email</w:t>
            </w:r>
          </w:p>
        </w:tc>
        <w:tc>
          <w:tcPr>
            <w:tcW w:w="3262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  <w:tc>
          <w:tcPr>
            <w:tcW w:w="1058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  <w:r w:rsidRPr="00D33D99">
              <w:rPr>
                <w:rFonts w:ascii="Arial" w:hAnsi="Arial" w:cs="Arial"/>
                <w:b/>
                <w:color w:val="365F91"/>
              </w:rPr>
              <w:t>Bleep number</w:t>
            </w:r>
          </w:p>
        </w:tc>
        <w:tc>
          <w:tcPr>
            <w:tcW w:w="3752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</w:tr>
      <w:tr w:rsidR="00676AFD" w:rsidRPr="00D33D99" w:rsidTr="00A46F57">
        <w:tc>
          <w:tcPr>
            <w:tcW w:w="1548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  <w:r w:rsidRPr="00D33D99">
              <w:rPr>
                <w:rFonts w:ascii="Arial" w:hAnsi="Arial" w:cs="Arial"/>
                <w:b/>
                <w:color w:val="365F91"/>
              </w:rPr>
              <w:t>SPECIALTY</w:t>
            </w: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3262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  <w:tc>
          <w:tcPr>
            <w:tcW w:w="1058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3752" w:type="dxa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</w:tr>
      <w:tr w:rsidR="00676AFD" w:rsidRPr="00D33D99" w:rsidTr="00A46F57">
        <w:tc>
          <w:tcPr>
            <w:tcW w:w="9620" w:type="dxa"/>
            <w:gridSpan w:val="4"/>
          </w:tcPr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b/>
                <w:i/>
                <w:color w:val="365F91"/>
              </w:rPr>
              <w:t>Advice and support that you are willing to give to trainees:</w:t>
            </w:r>
            <w:r w:rsidR="0064235F">
              <w:rPr>
                <w:rFonts w:ascii="Arial" w:hAnsi="Arial" w:cs="Arial"/>
                <w:b/>
                <w:i/>
                <w:color w:val="365F91"/>
              </w:rPr>
              <w:t xml:space="preserve"> </w:t>
            </w:r>
            <w:r w:rsidR="0064235F" w:rsidRPr="0064235F">
              <w:rPr>
                <w:rFonts w:ascii="Arial" w:hAnsi="Arial" w:cs="Arial"/>
                <w:i/>
                <w:color w:val="365F91"/>
                <w:sz w:val="20"/>
              </w:rPr>
              <w:t xml:space="preserve">i.e. 1:1 appointments in a confidential setting, telephone support and advice, </w:t>
            </w:r>
            <w:r w:rsidR="0064235F">
              <w:rPr>
                <w:rFonts w:ascii="Arial" w:hAnsi="Arial" w:cs="Arial"/>
                <w:i/>
                <w:color w:val="365F91"/>
                <w:sz w:val="20"/>
              </w:rPr>
              <w:t xml:space="preserve">your </w:t>
            </w:r>
            <w:r w:rsidR="0064235F" w:rsidRPr="0064235F">
              <w:rPr>
                <w:rFonts w:ascii="Arial" w:hAnsi="Arial" w:cs="Arial"/>
                <w:i/>
                <w:color w:val="365F91"/>
                <w:sz w:val="20"/>
              </w:rPr>
              <w:t>availability, specific speciality career knowledge and advice</w:t>
            </w:r>
            <w:r w:rsidR="0064235F">
              <w:rPr>
                <w:rFonts w:ascii="Arial" w:hAnsi="Arial" w:cs="Arial"/>
                <w:i/>
                <w:color w:val="365F91"/>
                <w:sz w:val="20"/>
              </w:rPr>
              <w:t xml:space="preserve"> etc.</w:t>
            </w: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4235F" w:rsidRDefault="0064235F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4235F" w:rsidRDefault="0064235F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4235F" w:rsidRPr="00D33D99" w:rsidRDefault="0064235F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  <w:p w:rsidR="00676AFD" w:rsidRPr="00D33D99" w:rsidRDefault="00676AFD" w:rsidP="00A46F57">
            <w:pPr>
              <w:widowControl w:val="0"/>
              <w:rPr>
                <w:rFonts w:ascii="Arial" w:hAnsi="Arial" w:cs="Arial"/>
                <w:color w:val="365F91"/>
              </w:rPr>
            </w:pPr>
          </w:p>
        </w:tc>
      </w:tr>
    </w:tbl>
    <w:p w:rsidR="00676AFD" w:rsidRPr="000F60DF" w:rsidRDefault="00676AFD" w:rsidP="00590AC3">
      <w:pPr>
        <w:widowControl w:val="0"/>
        <w:rPr>
          <w:rFonts w:ascii="Arial" w:hAnsi="Arial" w:cs="Arial"/>
          <w:color w:val="365F91"/>
          <w:sz w:val="22"/>
        </w:rPr>
      </w:pPr>
    </w:p>
    <w:p w:rsidR="00312B7A" w:rsidRDefault="00312B7A" w:rsidP="00312B7A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r w:rsidRPr="0064235F">
        <w:rPr>
          <w:rFonts w:ascii="Calibri" w:hAnsi="Calibri" w:cs="Calibri"/>
          <w:b/>
          <w:color w:val="548DD4"/>
          <w:sz w:val="28"/>
          <w:szCs w:val="28"/>
          <w:lang w:eastAsia="en-GB"/>
        </w:rPr>
        <w:t>Please contact C</w:t>
      </w:r>
      <w:r>
        <w:rPr>
          <w:rFonts w:ascii="Calibri" w:hAnsi="Calibri" w:cs="Calibri"/>
          <w:b/>
          <w:color w:val="548DD4"/>
          <w:sz w:val="28"/>
          <w:szCs w:val="28"/>
          <w:lang w:eastAsia="en-GB"/>
        </w:rPr>
        <w:t>hristina Morphew</w:t>
      </w:r>
      <w:r w:rsidRPr="0064235F">
        <w:rPr>
          <w:rFonts w:ascii="Calibri" w:hAnsi="Calibri" w:cs="Calibri"/>
          <w:b/>
          <w:color w:val="548DD4"/>
          <w:sz w:val="28"/>
          <w:szCs w:val="28"/>
          <w:lang w:eastAsia="en-GB"/>
        </w:rPr>
        <w:t xml:space="preserve"> for further information </w:t>
      </w:r>
    </w:p>
    <w:p w:rsidR="00312B7A" w:rsidRPr="0064235F" w:rsidRDefault="00312B7A" w:rsidP="00312B7A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r w:rsidRPr="0064235F">
        <w:rPr>
          <w:rFonts w:ascii="Calibri" w:hAnsi="Calibri" w:cs="Calibri"/>
          <w:b/>
          <w:color w:val="548DD4"/>
          <w:sz w:val="28"/>
          <w:szCs w:val="28"/>
          <w:lang w:eastAsia="en-GB"/>
        </w:rPr>
        <w:t>on</w:t>
      </w:r>
      <w:r w:rsidR="00B94C59">
        <w:rPr>
          <w:rFonts w:ascii="Calibri" w:hAnsi="Calibri" w:cs="Calibri"/>
          <w:b/>
          <w:color w:val="548DD4"/>
          <w:sz w:val="28"/>
          <w:szCs w:val="28"/>
          <w:lang w:eastAsia="en-GB"/>
        </w:rPr>
        <w:t xml:space="preserve"> 14) 6358</w:t>
      </w:r>
    </w:p>
    <w:p w:rsidR="00312B7A" w:rsidRDefault="0037725F" w:rsidP="00312B7A">
      <w:pPr>
        <w:jc w:val="center"/>
        <w:rPr>
          <w:rFonts w:ascii="Calibri" w:hAnsi="Calibri" w:cs="Calibri"/>
          <w:b/>
          <w:color w:val="548DD4"/>
          <w:sz w:val="28"/>
          <w:szCs w:val="28"/>
          <w:lang w:eastAsia="en-GB"/>
        </w:rPr>
      </w:pPr>
      <w:hyperlink r:id="rId10" w:history="1">
        <w:r w:rsidR="00312B7A" w:rsidRPr="00312B7A">
          <w:rPr>
            <w:rStyle w:val="Hyperlink"/>
            <w:rFonts w:ascii="Calibri" w:hAnsi="Calibri" w:cs="Calibri"/>
            <w:b/>
            <w:sz w:val="28"/>
            <w:szCs w:val="28"/>
            <w:lang w:eastAsia="en-GB"/>
          </w:rPr>
          <w:t>christina</w:t>
        </w:r>
        <w:r w:rsidR="00312B7A" w:rsidRPr="00B3156B">
          <w:rPr>
            <w:rStyle w:val="Hyperlink"/>
            <w:rFonts w:ascii="Calibri" w:hAnsi="Calibri" w:cs="Calibri"/>
            <w:b/>
            <w:sz w:val="28"/>
            <w:szCs w:val="28"/>
            <w:lang w:eastAsia="en-GB"/>
          </w:rPr>
          <w:t>.morphew@nhs.net</w:t>
        </w:r>
      </w:hyperlink>
    </w:p>
    <w:p w:rsidR="00676AFD" w:rsidRPr="00561C19" w:rsidRDefault="0037725F" w:rsidP="00312B7A">
      <w:pPr>
        <w:jc w:val="center"/>
        <w:rPr>
          <w:rFonts w:ascii="Arial" w:hAnsi="Arial" w:cs="Arial"/>
          <w:color w:val="365F91"/>
          <w:lang w:eastAsia="en-GB"/>
        </w:rPr>
      </w:pPr>
      <w:hyperlink r:id="rId11" w:history="1">
        <w:r w:rsidR="00312B7A" w:rsidRPr="00312B7A">
          <w:rPr>
            <w:rStyle w:val="Hyperlink"/>
            <w:rFonts w:ascii="Calibri" w:hAnsi="Calibri" w:cs="Calibri"/>
            <w:b/>
            <w:sz w:val="28"/>
            <w:szCs w:val="28"/>
            <w:lang w:eastAsia="en-GB"/>
          </w:rPr>
          <w:t>http://www.esht.nhs.uk/medical-education/careers/</w:t>
        </w:r>
      </w:hyperlink>
    </w:p>
    <w:sectPr w:rsidR="00676AFD" w:rsidRPr="00561C19" w:rsidSect="00B80FC3">
      <w:head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D4" w:rsidRDefault="00CE52D4" w:rsidP="00B80FC3">
      <w:r>
        <w:separator/>
      </w:r>
    </w:p>
  </w:endnote>
  <w:endnote w:type="continuationSeparator" w:id="0">
    <w:p w:rsidR="00CE52D4" w:rsidRDefault="00CE52D4" w:rsidP="00B8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D4" w:rsidRDefault="00CE52D4" w:rsidP="00B80FC3">
      <w:r>
        <w:separator/>
      </w:r>
    </w:p>
  </w:footnote>
  <w:footnote w:type="continuationSeparator" w:id="0">
    <w:p w:rsidR="00CE52D4" w:rsidRDefault="00CE52D4" w:rsidP="00B8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D4" w:rsidRDefault="00312B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-448945</wp:posOffset>
          </wp:positionV>
          <wp:extent cx="7560310" cy="10693400"/>
          <wp:effectExtent l="0" t="0" r="254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691"/>
    <w:multiLevelType w:val="hybridMultilevel"/>
    <w:tmpl w:val="E4AC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04E6"/>
    <w:multiLevelType w:val="hybridMultilevel"/>
    <w:tmpl w:val="3E7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C3"/>
    <w:rsid w:val="000F60DF"/>
    <w:rsid w:val="001576DC"/>
    <w:rsid w:val="0022371C"/>
    <w:rsid w:val="00225990"/>
    <w:rsid w:val="0026560D"/>
    <w:rsid w:val="002A4BD0"/>
    <w:rsid w:val="00312B7A"/>
    <w:rsid w:val="0037725F"/>
    <w:rsid w:val="00561C19"/>
    <w:rsid w:val="00590AC3"/>
    <w:rsid w:val="005A6ADB"/>
    <w:rsid w:val="0064235F"/>
    <w:rsid w:val="00676AFD"/>
    <w:rsid w:val="00714F16"/>
    <w:rsid w:val="00A13D4E"/>
    <w:rsid w:val="00A46F57"/>
    <w:rsid w:val="00B80FC3"/>
    <w:rsid w:val="00B94C59"/>
    <w:rsid w:val="00BF2B25"/>
    <w:rsid w:val="00C01C3C"/>
    <w:rsid w:val="00CE52D4"/>
    <w:rsid w:val="00D33D99"/>
    <w:rsid w:val="00F54D68"/>
    <w:rsid w:val="00F83FE0"/>
    <w:rsid w:val="00FE0178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0D"/>
    <w:rPr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0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F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0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0FC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80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FC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F54D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0A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90"/>
    <w:rPr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90"/>
    <w:rPr>
      <w:b/>
      <w:bCs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0D"/>
    <w:rPr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0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F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0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0FC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80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FC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F54D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0A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90"/>
    <w:rPr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90"/>
    <w:rPr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morphew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ht.nhs.uk/medical-education/care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na.morphew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ht.nhs.uk/medical-education/care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9B01AEEC.dotm</Template>
  <TotalTime>1</TotalTime>
  <Pages>2</Pages>
  <Words>258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SUPPORT</vt:lpstr>
    </vt:vector>
  </TitlesOfParts>
  <Company>NHS Creative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SUPPORT</dc:title>
  <dc:creator>Julian Walton</dc:creator>
  <cp:lastModifiedBy>Morphew Christina (East Sussex Healthcare)</cp:lastModifiedBy>
  <cp:revision>2</cp:revision>
  <cp:lastPrinted>2015-07-06T11:32:00Z</cp:lastPrinted>
  <dcterms:created xsi:type="dcterms:W3CDTF">2020-06-08T10:51:00Z</dcterms:created>
  <dcterms:modified xsi:type="dcterms:W3CDTF">2020-06-08T10:51:00Z</dcterms:modified>
</cp:coreProperties>
</file>